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自动化投放架构、规划、拆解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019425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2609850"/>
            <wp:docPr id="1" name="Drawing 1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b w:val="true"/>
          <w:sz w:val="32"/>
        </w:rPr>
        <w:t>规划：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优先实现</w:t>
      </w:r>
      <w:r>
        <w:rPr>
          <w:rFonts w:eastAsia="等线" w:ascii="Arial" w:cs="Arial" w:hAnsi="Arial"/>
          <w:b w:val="true"/>
          <w:sz w:val="22"/>
          <w:u w:val="single"/>
        </w:rPr>
        <w:t>钱</w:t>
      </w:r>
      <w:r>
        <w:rPr>
          <w:rFonts w:eastAsia="等线" w:ascii="Arial" w:cs="Arial" w:hAnsi="Arial"/>
          <w:sz w:val="22"/>
        </w:rPr>
        <w:t>和</w:t>
      </w:r>
      <w:r>
        <w:rPr>
          <w:rFonts w:eastAsia="等线" w:ascii="Arial" w:cs="Arial" w:hAnsi="Arial"/>
          <w:b w:val="true"/>
          <w:sz w:val="22"/>
          <w:u w:val="single"/>
        </w:rPr>
        <w:t>系统</w:t>
      </w:r>
      <w:r>
        <w:rPr>
          <w:rFonts w:eastAsia="等线" w:ascii="Arial" w:cs="Arial" w:hAnsi="Arial"/>
          <w:sz w:val="22"/>
        </w:rPr>
        <w:t>两个业务单元，评估和灰度验证后优先应用到线上，达到投手的投放能力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并行设计和实现</w:t>
      </w:r>
      <w:r>
        <w:rPr>
          <w:rFonts w:eastAsia="等线" w:ascii="Arial" w:cs="Arial" w:hAnsi="Arial"/>
          <w:b w:val="true"/>
          <w:sz w:val="22"/>
          <w:u w:val="single"/>
        </w:rPr>
        <w:t>人</w:t>
      </w:r>
      <w:r>
        <w:rPr>
          <w:rFonts w:eastAsia="等线" w:ascii="Arial" w:cs="Arial" w:hAnsi="Arial"/>
          <w:sz w:val="22"/>
        </w:rPr>
        <w:t>和</w:t>
      </w:r>
      <w:r>
        <w:rPr>
          <w:rFonts w:eastAsia="等线" w:ascii="Arial" w:cs="Arial" w:hAnsi="Arial"/>
          <w:b w:val="true"/>
          <w:sz w:val="22"/>
          <w:u w:val="single"/>
        </w:rPr>
        <w:t>item</w:t>
      </w:r>
      <w:r>
        <w:rPr>
          <w:rFonts w:eastAsia="等线" w:ascii="Arial" w:cs="Arial" w:hAnsi="Arial"/>
          <w:sz w:val="22"/>
        </w:rPr>
        <w:t>策略，完整能力集成和线上应用，超越当前投手投放的量和质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投放agent的反馈强化：积累学习好的投放策略和案例，反馈优化整体agent的投放水平</w:t>
      </w:r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5670"/>
        <w:gridCol w:w="1485"/>
        <w:gridCol w:w="1125"/>
      </w:tblGrid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拆解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协助人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预期完成时间点</w:t>
            </w: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人：</w:t>
            </w:r>
            <w:r>
              <w:rPr>
                <w:rFonts w:eastAsia="等线" w:ascii="Arial" w:cs="Arial" w:hAnsi="Arial"/>
                <w:sz w:val="22"/>
              </w:rPr>
              <w:t>投放人群规划、人群圈选、需求驱动策略、人群定向策略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崇宇、孟孟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0430</w:t>
            </w: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item：</w:t>
            </w:r>
            <w:r>
              <w:rPr>
                <w:rFonts w:eastAsia="等线" w:ascii="Arial" w:cs="Arial" w:hAnsi="Arial"/>
                <w:sz w:val="22"/>
              </w:rPr>
              <w:t>素材供给、投放人群-素材匹配、素材-视频匹配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孟孟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0430</w:t>
            </w: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钱：</w:t>
            </w:r>
            <w:r>
              <w:rPr>
                <w:rFonts w:eastAsia="等线" w:ascii="Arial" w:cs="Arial" w:hAnsi="Arial"/>
                <w:sz w:val="22"/>
              </w:rPr>
              <w:t>每日预算分配、ROI计算、出价策略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孟孟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0410</w:t>
            </w: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系统：</w:t>
            </w:r>
            <w:r>
              <w:rPr>
                <w:rFonts w:eastAsia="等线" w:ascii="Arial" w:cs="Arial" w:hAnsi="Arial"/>
                <w:sz w:val="22"/>
              </w:rPr>
              <w:t>广告搭建能力和调整能力集成到agent中，投放规划，广告创建（广告配置、创意配置、落地页生成和配置）、广告调整、广告关停、异常监控和操作变更通知、熔断策略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孟孟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0410</w:t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数据：</w:t>
            </w:r>
            <w:r>
              <w:rPr>
                <w:rFonts w:eastAsia="等线" w:ascii="Arial" w:cs="Arial" w:hAnsi="Arial"/>
                <w:sz w:val="22"/>
              </w:rPr>
              <w:t>每日/小时级投放表现数据采集、分析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崇宇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0410</w:t>
            </w: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知识库和策略建立：</w:t>
            </w:r>
            <w:r>
              <w:rPr>
                <w:rFonts w:eastAsia="等线" w:ascii="Arial" w:cs="Arial" w:hAnsi="Arial"/>
                <w:sz w:val="22"/>
              </w:rPr>
              <w:t>知识库搭建、平台投放知识、规则、先验投放策略等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孟孟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0417</w:t>
            </w: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模拟测试&amp;验证：</w:t>
            </w:r>
            <w:r>
              <w:rPr>
                <w:rFonts w:eastAsia="等线" w:ascii="Arial" w:cs="Arial" w:hAnsi="Arial"/>
                <w:sz w:val="22"/>
              </w:rPr>
              <w:t>完成流程串联，需求接入、预算分配、ROI计算、广告创建和调整能力、接入线验证，人工验证合理性。（投放人群圈选和item复用目前策略）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孟孟、七七</w:t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0417</w:t>
            </w: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线上灰度</w:t>
            </w:r>
            <w:r>
              <w:rPr>
                <w:rFonts w:eastAsia="等线" w:ascii="Arial" w:cs="Arial" w:hAnsi="Arial"/>
                <w:sz w:val="22"/>
              </w:rPr>
              <w:t>：串联流程，预算分配、ROI计算、广告创建和调整能力接入线上账户验证，预期达到当前已有的投放数据ROI表现（投放人群包和item复用目前策略）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孟孟、七七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0422</w:t>
            </w: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完整的能力集成、线上逐步灰度：</w:t>
            </w:r>
            <w:r>
              <w:rPr>
                <w:rFonts w:eastAsia="等线" w:ascii="Arial" w:cs="Arial" w:hAnsi="Arial"/>
                <w:sz w:val="22"/>
              </w:rPr>
              <w:t>新的人群规划、圈选、供给、匹配集成到投放agent中，完备功能投入线上测试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孟孟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0430</w:t>
            </w:r>
          </w:p>
        </w:tc>
      </w:tr>
      <w:tr>
        <w:tc>
          <w:tcPr>
            <w:tcW w:w="56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反馈强化：</w:t>
            </w:r>
            <w:r>
              <w:rPr>
                <w:rFonts w:eastAsia="等线" w:ascii="Arial" w:cs="Arial" w:hAnsi="Arial"/>
                <w:sz w:val="22"/>
              </w:rPr>
              <w:t>后验的投放数据分析、投放策略归纳和沉淀、反馈强化系统投放能力并应用新的投放</w:t>
            </w:r>
          </w:p>
        </w:tc>
        <w:tc>
          <w:tcPr>
            <w:tcW w:w="14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孟孟</w:t>
            </w:r>
          </w:p>
        </w:tc>
        <w:tc>
          <w:tcPr>
            <w:tcW w:w="112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0430之后优化</w:t>
            </w:r>
          </w:p>
        </w:tc>
      </w:tr>
    </w:tbl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agent实现：</w:t>
      </w:r>
      <w:bookmarkEnd w:id="1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补充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7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718980">
    <w:lvl>
      <w:start w:val="1"/>
      <w:numFmt w:val="decimal"/>
      <w:suff w:val="tab"/>
      <w:lvlText w:val="%1."/>
      <w:rPr>
        <w:color w:val="3370ff"/>
      </w:rPr>
    </w:lvl>
  </w:abstractNum>
  <w:abstractNum w:abstractNumId="718981">
    <w:lvl>
      <w:start w:val="2"/>
      <w:numFmt w:val="decimal"/>
      <w:suff w:val="tab"/>
      <w:lvlText w:val="%1."/>
      <w:rPr>
        <w:color w:val="3370ff"/>
      </w:rPr>
    </w:lvl>
  </w:abstractNum>
  <w:abstractNum w:abstractNumId="718982">
    <w:lvl>
      <w:start w:val="3"/>
      <w:numFmt w:val="decimal"/>
      <w:suff w:val="tab"/>
      <w:lvlText w:val="%1."/>
      <w:rPr>
        <w:color w:val="3370ff"/>
      </w:rPr>
    </w:lvl>
  </w:abstractNum>
  <w:num w:numId="1">
    <w:abstractNumId w:val="718980"/>
  </w:num>
  <w:num w:numId="2">
    <w:abstractNumId w:val="718981"/>
  </w:num>
  <w:num w:numId="3">
    <w:abstractNumId w:val="718982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media/image1.png" Type="http://schemas.openxmlformats.org/officeDocument/2006/relationships/image"/><Relationship Id="rId5" Target="media/image2.jpeg" Type="http://schemas.openxmlformats.org/officeDocument/2006/relationships/image"/><Relationship Id="rId6" Target="numbering.xml" Type="http://schemas.openxmlformats.org/officeDocument/2006/relationships/numbering"/><Relationship Id="rId7" Target="header1.xml" Type="http://schemas.openxmlformats.org/officeDocument/2006/relationships/header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2026-04-07T07:10:32Z</dcterms:created>
  <dc:creator>Apache POI</dc:creator>
</cp:coreProperties>
</file>